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亳州市博物馆2022年度工作总结</w:t>
      </w:r>
    </w:p>
    <w:p>
      <w:pPr>
        <w:spacing w:line="570" w:lineRule="exact"/>
        <w:ind w:firstLine="640" w:firstLineChars="200"/>
        <w:rPr>
          <w:rFonts w:ascii="仿宋" w:hAnsi="仿宋" w:eastAsia="仿宋" w:cs="仿宋"/>
          <w:kern w:val="21"/>
          <w:sz w:val="32"/>
          <w:szCs w:val="32"/>
        </w:rPr>
      </w:pPr>
      <w:r>
        <w:rPr>
          <w:rFonts w:hint="eastAsia" w:ascii="仿宋" w:hAnsi="仿宋" w:eastAsia="仿宋" w:cs="仿宋"/>
          <w:kern w:val="21"/>
          <w:sz w:val="32"/>
          <w:szCs w:val="32"/>
        </w:rPr>
        <w:t>2022年市博物馆紧紧围绕市文化旅游体育局的工作思路和年初制定的岗位责任目标，坚持以提升免费开放服务水平为重点，以打造博物馆精品社教品牌为目标，以文物安全、创新发展为抓手，立足本职、求真务实，不断整合我市历史文化资源，创新开展多途径、新形式的群众文化活动，持续拓展社会教育的服务形式和范围，积极推进各项工作任务，现将工作开展情况汇报如下：</w:t>
      </w:r>
    </w:p>
    <w:p>
      <w:pPr>
        <w:spacing w:line="570" w:lineRule="exact"/>
        <w:ind w:firstLine="643" w:firstLineChars="200"/>
        <w:rPr>
          <w:rFonts w:ascii="仿宋" w:hAnsi="仿宋" w:eastAsia="仿宋" w:cs="仿宋"/>
          <w:color w:val="000000"/>
          <w:sz w:val="32"/>
          <w:szCs w:val="32"/>
        </w:rPr>
      </w:pPr>
      <w:r>
        <w:rPr>
          <w:rFonts w:hint="eastAsia" w:ascii="楷体" w:hAnsi="楷体" w:eastAsia="楷体" w:cs="楷体"/>
          <w:b/>
          <w:bCs/>
          <w:sz w:val="32"/>
          <w:szCs w:val="32"/>
        </w:rPr>
        <w:t>（一）严格落实疫情防控措施，提升日常管理和免费开放服务水平。</w:t>
      </w:r>
      <w:r>
        <w:rPr>
          <w:rFonts w:hint="eastAsia" w:ascii="仿宋" w:hAnsi="仿宋" w:eastAsia="仿宋" w:cs="仿宋"/>
          <w:kern w:val="21"/>
          <w:sz w:val="32"/>
          <w:szCs w:val="32"/>
        </w:rPr>
        <w:t>市博物馆积极落实场馆消毒、戴口罩、实名制、测体温、“三码一证”（健康码、行程码、预约码、身份证）等疫情防控措施，引导群众做好个人防护，同时采取分时段线上预约参观等方式限流，减少人员聚集。坚持每周二至周日免费对外开放，重大节假日不闭馆，全天候接待观众。</w:t>
      </w:r>
    </w:p>
    <w:p>
      <w:pPr>
        <w:widowControl/>
        <w:ind w:firstLine="643" w:firstLineChars="200"/>
        <w:jc w:val="left"/>
        <w:rPr>
          <w:rFonts w:ascii="仿宋" w:hAnsi="仿宋" w:eastAsia="仿宋" w:cs="仿宋"/>
          <w:sz w:val="36"/>
          <w:szCs w:val="36"/>
        </w:rPr>
      </w:pPr>
      <w:r>
        <w:rPr>
          <w:rFonts w:hint="eastAsia" w:ascii="楷体" w:hAnsi="楷体" w:eastAsia="楷体" w:cs="楷体"/>
          <w:b/>
          <w:bCs/>
          <w:sz w:val="32"/>
          <w:szCs w:val="32"/>
        </w:rPr>
        <w:t>（二）紧抓安防建设，做好博物馆各项提升改造项目。</w:t>
      </w:r>
      <w:r>
        <w:rPr>
          <w:rFonts w:hint="eastAsia" w:ascii="仿宋" w:hAnsi="仿宋" w:eastAsia="仿宋" w:cs="仿宋"/>
          <w:kern w:val="21"/>
          <w:sz w:val="32"/>
          <w:szCs w:val="32"/>
        </w:rPr>
        <w:t>完成博物馆双电源改造，积极推进市博物馆安全隐患排查，</w:t>
      </w:r>
      <w:r>
        <w:rPr>
          <w:rFonts w:hint="eastAsia" w:ascii="仿宋" w:hAnsi="仿宋" w:eastAsia="仿宋" w:cs="仿宋"/>
          <w:sz w:val="32"/>
          <w:szCs w:val="32"/>
        </w:rPr>
        <w:t>开展安全隐患排查12次，建筑消防设施巡查365次，防火检查12次，维修消防设施故障2次，消防应急救援演练2次；完成技防系统优化更新，开展技防系统安全检查12次</w:t>
      </w:r>
      <w:r>
        <w:rPr>
          <w:rFonts w:hint="eastAsia" w:ascii="仿宋" w:hAnsi="仿宋" w:eastAsia="仿宋" w:cs="仿宋"/>
          <w:color w:val="000000"/>
          <w:kern w:val="0"/>
          <w:sz w:val="32"/>
          <w:szCs w:val="32"/>
          <w:lang w:bidi="ar"/>
        </w:rPr>
        <w:t>，切实保障文物安全，营造安全旅游环境。</w:t>
      </w:r>
    </w:p>
    <w:p>
      <w:pPr>
        <w:spacing w:line="570" w:lineRule="exact"/>
        <w:ind w:firstLine="643" w:firstLineChars="200"/>
        <w:rPr>
          <w:rFonts w:hint="eastAsia" w:ascii="仿宋" w:hAnsi="仿宋" w:eastAsia="仿宋" w:cs="仿宋"/>
          <w:sz w:val="32"/>
          <w:szCs w:val="32"/>
        </w:rPr>
      </w:pPr>
      <w:r>
        <w:rPr>
          <w:rFonts w:hint="eastAsia" w:ascii="楷体" w:hAnsi="楷体" w:eastAsia="楷体" w:cs="楷体"/>
          <w:b/>
          <w:bCs/>
          <w:sz w:val="32"/>
          <w:szCs w:val="32"/>
        </w:rPr>
        <w:t>（三）举办各类展览，不断丰富市民的精神文化生活。</w:t>
      </w:r>
      <w:r>
        <w:rPr>
          <w:rFonts w:hint="eastAsia" w:ascii="仿宋" w:hAnsi="仿宋" w:eastAsia="仿宋" w:cs="仿宋"/>
          <w:sz w:val="32"/>
          <w:szCs w:val="32"/>
        </w:rPr>
        <w:t>精心组织开展“我在博物馆画文物”全省青少年绘画大展、曹操宗族墓群文字砖拓片全国巡展·敦煌站、迎新春文房雅趣书画奇石古籍艺术展、数风流人物——琅琊山摩崖石刻及碑刻拓片云展、喜迎二十大亳州篆刻云展、喜迎二十大　永远跟党走　奋进新征程——亳州最新考古成果展、亳州市抗疫突出贡献企业展、中医药文物展等专题展览</w:t>
      </w:r>
      <w:r>
        <w:rPr>
          <w:rFonts w:ascii="仿宋" w:hAnsi="仿宋" w:eastAsia="仿宋" w:cs="仿宋"/>
          <w:sz w:val="32"/>
          <w:szCs w:val="32"/>
        </w:rPr>
        <w:t>10</w:t>
      </w:r>
      <w:r>
        <w:rPr>
          <w:rFonts w:hint="eastAsia" w:ascii="仿宋" w:hAnsi="仿宋" w:eastAsia="仿宋" w:cs="仿宋"/>
          <w:sz w:val="32"/>
          <w:szCs w:val="32"/>
        </w:rPr>
        <w:t>场。曹操宗族墓群文字砖参展“跨越两国的审美：日本与中国汉唐时期文化交流”展1场。</w:t>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810" b="3175"/>
            <wp:docPr id="2" name="图片 2" descr="石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石头"/>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810" b="3175"/>
            <wp:docPr id="1" name="图片 1" descr="书画艺术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书画艺术展"/>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书画奇石古籍艺术展</w:t>
      </w:r>
    </w:p>
    <w:p>
      <w:pPr>
        <w:spacing w:line="240" w:lineRule="auto"/>
        <w:jc w:val="center"/>
        <w:rPr>
          <w:rFonts w:hint="default" w:ascii="仿宋" w:hAnsi="仿宋" w:eastAsia="仿宋" w:cs="仿宋"/>
          <w:sz w:val="24"/>
          <w:szCs w:val="24"/>
          <w:lang w:val="en-US" w:eastAsia="zh-CN"/>
        </w:rPr>
      </w:pPr>
    </w:p>
    <w:p>
      <w:pPr>
        <w:spacing w:line="240" w:lineRule="auto"/>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drawing>
          <wp:inline distT="0" distB="0" distL="114300" distR="114300">
            <wp:extent cx="5253990" cy="3940175"/>
            <wp:effectExtent l="0" t="0" r="3810" b="3175"/>
            <wp:docPr id="3" name="图片 3" descr="考古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考古站"/>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p>
    <w:p>
      <w:pPr>
        <w:spacing w:line="240" w:lineRule="auto"/>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drawing>
          <wp:inline distT="0" distB="0" distL="114300" distR="114300">
            <wp:extent cx="5253990" cy="3940175"/>
            <wp:effectExtent l="0" t="0" r="3810" b="3175"/>
            <wp:docPr id="4" name="图片 4" descr="考古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考古站2"/>
                    <pic:cNvPicPr>
                      <a:picLocks noChangeAspect="1"/>
                    </pic:cNvPicPr>
                  </pic:nvPicPr>
                  <pic:blipFill>
                    <a:blip r:embed="rId6"/>
                    <a:stretch>
                      <a:fillRect/>
                    </a:stretch>
                  </pic:blipFill>
                  <pic:spPr>
                    <a:xfrm>
                      <a:off x="0" y="0"/>
                      <a:ext cx="5253990" cy="3940175"/>
                    </a:xfrm>
                    <a:prstGeom prst="rect">
                      <a:avLst/>
                    </a:prstGeom>
                  </pic:spPr>
                </pic:pic>
              </a:graphicData>
            </a:graphic>
          </wp:inline>
        </w:drawing>
      </w:r>
    </w:p>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亳州最新考古成果展</w:t>
      </w:r>
    </w:p>
    <w:p>
      <w:pPr>
        <w:spacing w:line="570" w:lineRule="exact"/>
        <w:ind w:firstLine="643" w:firstLineChars="200"/>
        <w:rPr>
          <w:rFonts w:hint="eastAsia" w:ascii="仿宋" w:hAnsi="仿宋" w:eastAsia="仿宋" w:cs="仿宋"/>
          <w:sz w:val="32"/>
          <w:szCs w:val="32"/>
        </w:rPr>
      </w:pPr>
      <w:r>
        <w:rPr>
          <w:rFonts w:hint="eastAsia" w:ascii="楷体" w:hAnsi="楷体" w:eastAsia="楷体" w:cs="楷体"/>
          <w:b/>
          <w:bCs/>
          <w:sz w:val="32"/>
          <w:szCs w:val="32"/>
        </w:rPr>
        <w:t>（四）打造“亳博学堂”教育品牌，开展精品社教活动。</w:t>
      </w:r>
      <w:r>
        <w:rPr>
          <w:rFonts w:hint="eastAsia" w:ascii="仿宋" w:hAnsi="仿宋" w:eastAsia="仿宋" w:cs="仿宋"/>
          <w:sz w:val="32"/>
          <w:szCs w:val="32"/>
        </w:rPr>
        <w:t>举办“虎跃新春 亳博贺岁”博物馆里过大年系列活动、“博物馆里猜灯谜 欢欢喜喜闹元宵”系列活动、“展巾帼风采 建时代新功”纪念三八国际妇女节系列活动、“我们的节日˙清明”系列活动、“强国复兴有我”浓情端午等主题活动，营造喜庆祥和的节日氛围；举办博物馆日、文化和自然遗产日主题活动、“我们的中国梦 文化进万家”系列学雷锋志愿活动；举办“亳博课堂”文化进基层活动，目前已走进育才小学开展“博物馆史前文明”“商朝古都”等公益课6期，走进市府小学、青云小学、三圣路小学等开展“亳博学堂”进课堂系列课程共计</w:t>
      </w:r>
      <w:r>
        <w:rPr>
          <w:rFonts w:ascii="仿宋" w:hAnsi="仿宋" w:eastAsia="仿宋" w:cs="仿宋"/>
          <w:sz w:val="32"/>
          <w:szCs w:val="32"/>
        </w:rPr>
        <w:t>42</w:t>
      </w:r>
      <w:r>
        <w:rPr>
          <w:rFonts w:hint="eastAsia" w:ascii="仿宋" w:hAnsi="仿宋" w:eastAsia="仿宋" w:cs="仿宋"/>
          <w:sz w:val="32"/>
          <w:szCs w:val="32"/>
        </w:rPr>
        <w:t>期；在周末及国家法定节假日等时间段推出“</w:t>
      </w:r>
      <w:r>
        <w:rPr>
          <w:rFonts w:ascii="仿宋" w:hAnsi="仿宋" w:eastAsia="仿宋" w:cs="仿宋"/>
          <w:sz w:val="32"/>
          <w:szCs w:val="32"/>
        </w:rPr>
        <w:t>非遗传承</w:t>
      </w:r>
      <w:r>
        <w:rPr>
          <w:rFonts w:hint="eastAsia" w:ascii="仿宋" w:hAnsi="仿宋" w:eastAsia="仿宋" w:cs="仿宋"/>
          <w:sz w:val="32"/>
          <w:szCs w:val="32"/>
        </w:rPr>
        <w:t>系列”“</w:t>
      </w:r>
      <w:r>
        <w:rPr>
          <w:rFonts w:ascii="仿宋" w:hAnsi="仿宋" w:eastAsia="仿宋" w:cs="仿宋"/>
          <w:sz w:val="32"/>
          <w:szCs w:val="32"/>
        </w:rPr>
        <w:t>千古一亳系列</w:t>
      </w:r>
      <w:r>
        <w:rPr>
          <w:rFonts w:hint="eastAsia" w:ascii="仿宋" w:hAnsi="仿宋" w:eastAsia="仿宋" w:cs="仿宋"/>
          <w:sz w:val="32"/>
          <w:szCs w:val="32"/>
        </w:rPr>
        <w:t>”“中华传统佳节系列”等系列课程，截止2022年</w:t>
      </w:r>
      <w:r>
        <w:rPr>
          <w:rFonts w:ascii="仿宋" w:hAnsi="仿宋" w:eastAsia="仿宋" w:cs="仿宋"/>
          <w:sz w:val="32"/>
          <w:szCs w:val="32"/>
        </w:rPr>
        <w:t>12</w:t>
      </w:r>
      <w:r>
        <w:rPr>
          <w:rFonts w:hint="eastAsia" w:ascii="仿宋" w:hAnsi="仿宋" w:eastAsia="仿宋" w:cs="仿宋"/>
          <w:sz w:val="32"/>
          <w:szCs w:val="32"/>
        </w:rPr>
        <w:t>月中旬累计开课</w:t>
      </w:r>
      <w:r>
        <w:rPr>
          <w:rFonts w:ascii="仿宋" w:hAnsi="仿宋" w:eastAsia="仿宋" w:cs="仿宋"/>
          <w:sz w:val="32"/>
          <w:szCs w:val="32"/>
        </w:rPr>
        <w:t>322</w:t>
      </w:r>
      <w:r>
        <w:rPr>
          <w:rFonts w:hint="eastAsia" w:ascii="仿宋" w:hAnsi="仿宋" w:eastAsia="仿宋" w:cs="仿宋"/>
          <w:sz w:val="32"/>
          <w:szCs w:val="32"/>
        </w:rPr>
        <w:t>场次，位居全省第一。</w:t>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810" b="3175"/>
            <wp:docPr id="5" name="图片 5" descr="社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社教1"/>
                    <pic:cNvPicPr>
                      <a:picLocks noChangeAspect="1"/>
                    </pic:cNvPicPr>
                  </pic:nvPicPr>
                  <pic:blipFill>
                    <a:blip r:embed="rId7"/>
                    <a:stretch>
                      <a:fillRect/>
                    </a:stretch>
                  </pic:blipFill>
                  <pic:spPr>
                    <a:xfrm>
                      <a:off x="0" y="0"/>
                      <a:ext cx="5253990" cy="3940175"/>
                    </a:xfrm>
                    <a:prstGeom prst="rect">
                      <a:avLst/>
                    </a:prstGeom>
                  </pic:spPr>
                </pic:pic>
              </a:graphicData>
            </a:graphic>
          </wp:inline>
        </w:drawing>
      </w:r>
    </w:p>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博物馆日主题活动</w:t>
      </w:r>
    </w:p>
    <w:p>
      <w:pPr>
        <w:spacing w:line="240" w:lineRule="auto"/>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drawing>
          <wp:inline distT="0" distB="0" distL="114300" distR="114300">
            <wp:extent cx="5253990" cy="3940175"/>
            <wp:effectExtent l="0" t="0" r="3810" b="3175"/>
            <wp:docPr id="6" name="图片 6" descr="社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社交 "/>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pPr>
        <w:spacing w:line="240" w:lineRule="auto"/>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drawing>
          <wp:inline distT="0" distB="0" distL="114300" distR="114300">
            <wp:extent cx="5253990" cy="3940175"/>
            <wp:effectExtent l="0" t="0" r="3810" b="3175"/>
            <wp:docPr id="7" name="图片 7" descr="研学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研学游"/>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翰林小学研学游</w:t>
      </w:r>
    </w:p>
    <w:p>
      <w:pPr>
        <w:ind w:firstLine="643" w:firstLineChars="200"/>
        <w:rPr>
          <w:rFonts w:hint="eastAsia" w:ascii="仿宋" w:hAnsi="仿宋" w:eastAsia="仿宋" w:cs="仿宋"/>
          <w:kern w:val="0"/>
          <w:sz w:val="32"/>
          <w:szCs w:val="32"/>
          <w:lang w:bidi="ar"/>
        </w:rPr>
      </w:pPr>
      <w:r>
        <w:rPr>
          <w:rFonts w:hint="eastAsia" w:ascii="楷体" w:hAnsi="楷体" w:eastAsia="楷体" w:cs="楷体"/>
          <w:b/>
          <w:bCs/>
          <w:color w:val="000000"/>
          <w:sz w:val="32"/>
          <w:szCs w:val="32"/>
        </w:rPr>
        <w:t>（五）馆校共建，开展“小小讲解员”“科普小达人”“文物守护人”活动。</w:t>
      </w:r>
      <w:r>
        <w:rPr>
          <w:rFonts w:hint="eastAsia" w:ascii="仿宋" w:hAnsi="仿宋" w:eastAsia="仿宋" w:cs="仿宋"/>
          <w:sz w:val="32"/>
          <w:szCs w:val="32"/>
        </w:rPr>
        <w:t>与亳州市三曹小学、亳州市黉学育才小学联合举办首届亳州市博物馆小小讲解员志愿服务活动，推出“上下五千年  尽在博物馆”小小讲解员冬令营，选拔出优秀的志愿者，在春节期间为游客提供义务讲解服务，在“亳州市博物馆”微信公众号累计发布22位优秀小小讲解员的讲解视频；</w:t>
      </w:r>
      <w:r>
        <w:rPr>
          <w:rFonts w:hint="eastAsia" w:ascii="仿宋" w:hAnsi="仿宋" w:eastAsia="仿宋" w:cs="仿宋"/>
          <w:kern w:val="0"/>
          <w:sz w:val="32"/>
          <w:szCs w:val="32"/>
          <w:lang w:bidi="ar"/>
        </w:rPr>
        <w:t>发布“童心向党 快乐成长”科普小达人13期，</w:t>
      </w:r>
      <w:r>
        <w:rPr>
          <w:rFonts w:hint="eastAsia" w:ascii="仿宋" w:hAnsi="仿宋" w:eastAsia="仿宋" w:cs="仿宋"/>
          <w:sz w:val="32"/>
          <w:szCs w:val="32"/>
        </w:rPr>
        <w:t>科普小达人们饱含深情地讲述了《</w:t>
      </w:r>
      <w:r>
        <w:rPr>
          <w:rFonts w:hint="eastAsia" w:ascii="仿宋" w:hAnsi="仿宋" w:eastAsia="仿宋" w:cs="仿宋"/>
          <w:color w:val="000000"/>
          <w:sz w:val="32"/>
          <w:szCs w:val="32"/>
        </w:rPr>
        <w:t>毛泽东的拐杖情怀</w:t>
      </w:r>
      <w:r>
        <w:rPr>
          <w:rFonts w:hint="eastAsia" w:ascii="仿宋" w:hAnsi="仿宋" w:eastAsia="仿宋" w:cs="仿宋"/>
          <w:sz w:val="32"/>
          <w:szCs w:val="32"/>
        </w:rPr>
        <w:t>》《</w:t>
      </w:r>
      <w:r>
        <w:rPr>
          <w:rFonts w:hint="eastAsia" w:ascii="仿宋" w:hAnsi="仿宋" w:eastAsia="仿宋" w:cs="仿宋"/>
          <w:color w:val="000000"/>
          <w:sz w:val="32"/>
          <w:szCs w:val="32"/>
        </w:rPr>
        <w:t>革命者陈延年、陈乔年</w:t>
      </w:r>
      <w:r>
        <w:rPr>
          <w:rFonts w:hint="eastAsia" w:ascii="仿宋" w:hAnsi="仿宋" w:eastAsia="仿宋" w:cs="仿宋"/>
          <w:sz w:val="32"/>
          <w:szCs w:val="32"/>
        </w:rPr>
        <w:t>》《我心中的英雄刘胡兰》《从小学党史，永远跟党走》等红色故事，接受红色洗礼，传承红色基因；发布“强国复兴有我”文物守护人校园科普活动8期，</w:t>
      </w:r>
      <w:r>
        <w:rPr>
          <w:rFonts w:hint="eastAsia" w:ascii="仿宋" w:hAnsi="仿宋" w:eastAsia="仿宋" w:cs="仿宋"/>
          <w:kern w:val="0"/>
          <w:sz w:val="32"/>
          <w:szCs w:val="32"/>
          <w:lang w:bidi="ar"/>
        </w:rPr>
        <w:t>小小讲解员们精彩讲述文物故事，号召更多的青少年儿童走进博物馆。</w:t>
      </w:r>
    </w:p>
    <w:p>
      <w:pPr>
        <w:rPr>
          <w:rFonts w:hint="eastAsia" w:ascii="仿宋" w:hAnsi="仿宋" w:eastAsia="仿宋" w:cs="仿宋"/>
          <w:kern w:val="0"/>
          <w:sz w:val="32"/>
          <w:szCs w:val="32"/>
          <w:lang w:eastAsia="zh-CN" w:bidi="ar"/>
        </w:rPr>
      </w:pPr>
      <w:r>
        <w:rPr>
          <w:rFonts w:hint="eastAsia" w:ascii="仿宋" w:hAnsi="仿宋" w:eastAsia="仿宋" w:cs="仿宋"/>
          <w:kern w:val="0"/>
          <w:sz w:val="32"/>
          <w:szCs w:val="32"/>
          <w:lang w:eastAsia="zh-CN" w:bidi="ar"/>
        </w:rPr>
        <w:drawing>
          <wp:inline distT="0" distB="0" distL="114300" distR="114300">
            <wp:extent cx="5253990" cy="3940175"/>
            <wp:effectExtent l="0" t="0" r="3810" b="3175"/>
            <wp:docPr id="8" name="图片 8" descr="守护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守护人"/>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pPr>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科普小达人活动</w:t>
      </w:r>
    </w:p>
    <w:p>
      <w:pPr>
        <w:jc w:val="center"/>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drawing>
          <wp:inline distT="0" distB="0" distL="114300" distR="114300">
            <wp:extent cx="5266690" cy="3555365"/>
            <wp:effectExtent l="0" t="0" r="10160" b="6985"/>
            <wp:docPr id="10" name="图片 10" descr="讲解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讲解员2"/>
                    <pic:cNvPicPr>
                      <a:picLocks noChangeAspect="1"/>
                    </pic:cNvPicPr>
                  </pic:nvPicPr>
                  <pic:blipFill>
                    <a:blip r:embed="rId11"/>
                    <a:stretch>
                      <a:fillRect/>
                    </a:stretch>
                  </pic:blipFill>
                  <pic:spPr>
                    <a:xfrm>
                      <a:off x="0" y="0"/>
                      <a:ext cx="5266690" cy="3555365"/>
                    </a:xfrm>
                    <a:prstGeom prst="rect">
                      <a:avLst/>
                    </a:prstGeom>
                  </pic:spPr>
                </pic:pic>
              </a:graphicData>
            </a:graphic>
          </wp:inline>
        </w:drawing>
      </w:r>
    </w:p>
    <w:p>
      <w:pPr>
        <w:rPr>
          <w:rFonts w:hint="eastAsia" w:ascii="仿宋" w:hAnsi="仿宋" w:eastAsia="仿宋" w:cs="仿宋"/>
          <w:kern w:val="0"/>
          <w:sz w:val="32"/>
          <w:szCs w:val="32"/>
          <w:lang w:eastAsia="zh-CN" w:bidi="ar"/>
        </w:rPr>
      </w:pPr>
      <w:r>
        <w:rPr>
          <w:rFonts w:hint="eastAsia" w:ascii="仿宋" w:hAnsi="仿宋" w:eastAsia="仿宋" w:cs="仿宋"/>
          <w:kern w:val="0"/>
          <w:sz w:val="32"/>
          <w:szCs w:val="32"/>
          <w:lang w:eastAsia="zh-CN" w:bidi="ar"/>
        </w:rPr>
        <w:drawing>
          <wp:inline distT="0" distB="0" distL="114300" distR="114300">
            <wp:extent cx="5257800" cy="3505200"/>
            <wp:effectExtent l="0" t="0" r="0" b="0"/>
            <wp:docPr id="9" name="图片 9" descr="讲解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讲解员"/>
                    <pic:cNvPicPr>
                      <a:picLocks noChangeAspect="1"/>
                    </pic:cNvPicPr>
                  </pic:nvPicPr>
                  <pic:blipFill>
                    <a:blip r:embed="rId12"/>
                    <a:stretch>
                      <a:fillRect/>
                    </a:stretch>
                  </pic:blipFill>
                  <pic:spPr>
                    <a:xfrm>
                      <a:off x="0" y="0"/>
                      <a:ext cx="5257800" cy="3505200"/>
                    </a:xfrm>
                    <a:prstGeom prst="rect">
                      <a:avLst/>
                    </a:prstGeom>
                  </pic:spPr>
                </pic:pic>
              </a:graphicData>
            </a:graphic>
          </wp:inline>
        </w:drawing>
      </w:r>
    </w:p>
    <w:p>
      <w:pPr>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小小讲解员志愿服务活动</w:t>
      </w:r>
    </w:p>
    <w:p>
      <w:pPr>
        <w:ind w:firstLine="643" w:firstLineChars="200"/>
        <w:rPr>
          <w:rFonts w:ascii="仿宋" w:hAnsi="仿宋" w:eastAsia="仿宋" w:cs="仿宋"/>
          <w:kern w:val="0"/>
          <w:sz w:val="32"/>
          <w:szCs w:val="32"/>
          <w:lang w:bidi="ar"/>
        </w:rPr>
      </w:pPr>
      <w:r>
        <w:rPr>
          <w:rFonts w:hint="eastAsia" w:ascii="楷体" w:hAnsi="楷体" w:eastAsia="楷体" w:cs="楷体"/>
          <w:b/>
          <w:bCs/>
          <w:sz w:val="32"/>
          <w:szCs w:val="32"/>
        </w:rPr>
        <w:t>（六）开展文物征集、管理及修复工作。</w:t>
      </w:r>
      <w:r>
        <w:rPr>
          <w:rFonts w:hint="eastAsia" w:ascii="仿宋" w:hAnsi="仿宋" w:eastAsia="仿宋" w:cs="仿宋"/>
          <w:kern w:val="0"/>
          <w:sz w:val="32"/>
          <w:szCs w:val="32"/>
          <w:lang w:bidi="ar"/>
        </w:rPr>
        <w:t>从花戏楼、江宁会馆、姜公馆等处征集到墓志铭、经幢、空心砖等14件套石质文物；完成市博物馆馆藏近600块文字砖数字化的整理工作；健全馆藏一级文物登录备案机制，完成馆藏一级文物信息备案复核；从70多件套革命文物中甄选出包括1949年解放西南胜利铜纪念章、抗日战争时期十子连手枪、1951年抗美援朝战争立功证等较有代表性的30件套革命文物报送省文物局第二批革命文物名录；编辑《亳州市博物馆馆藏青铜器文物保护修复方案》、《亳州市博物馆铁器修复方案》并上报申请国家文物修复专项资金。</w:t>
      </w:r>
    </w:p>
    <w:p>
      <w:pPr>
        <w:ind w:firstLine="643" w:firstLineChars="200"/>
        <w:rPr>
          <w:rFonts w:hint="eastAsia" w:ascii="仿宋" w:hAnsi="仿宋" w:eastAsia="仿宋" w:cs="仿宋"/>
          <w:sz w:val="32"/>
          <w:szCs w:val="32"/>
        </w:rPr>
      </w:pPr>
      <w:r>
        <w:rPr>
          <w:rFonts w:hint="eastAsia" w:ascii="楷体" w:hAnsi="楷体" w:eastAsia="楷体" w:cs="楷体"/>
          <w:b/>
          <w:bCs/>
          <w:color w:val="000000"/>
          <w:sz w:val="32"/>
          <w:szCs w:val="32"/>
        </w:rPr>
        <w:t>（七）斩获荣誉再出发，推进书籍编辑工作。</w:t>
      </w:r>
      <w:r>
        <w:rPr>
          <w:rFonts w:hint="eastAsia" w:ascii="仿宋" w:hAnsi="仿宋" w:eastAsia="仿宋" w:cs="仿宋"/>
          <w:sz w:val="32"/>
          <w:szCs w:val="32"/>
        </w:rPr>
        <w:t>2022年度我馆获得省级以上表扬或奖励共五项，亳州市博物馆获2022年度安徽省最美公共文化空间，汪永丽同志获全省文化和旅游系统先进工作者，何晓蝶同志获2022年度安徽省最美志愿者、吴磊同志获202</w:t>
      </w:r>
      <w:r>
        <w:rPr>
          <w:rFonts w:ascii="仿宋" w:hAnsi="仿宋" w:eastAsia="仿宋" w:cs="仿宋"/>
          <w:sz w:val="32"/>
          <w:szCs w:val="32"/>
        </w:rPr>
        <w:t>1-2022</w:t>
      </w:r>
      <w:r>
        <w:rPr>
          <w:rFonts w:hint="eastAsia" w:ascii="仿宋" w:hAnsi="仿宋" w:eastAsia="仿宋" w:cs="仿宋"/>
          <w:sz w:val="32"/>
          <w:szCs w:val="32"/>
        </w:rPr>
        <w:t>年度安徽文旅最美人物；其中吴磊同志主编的《梁巘全集》荣获安徽省社会科学奖三等奖，该套书籍是迄今为止最完整、最全面反映梁巘艺术成就的著作，涵盖了他的碑刻、墨迹和书论等方面，将填补书法界的此项空白。在此基础上，我馆在今年的工作中积极推进《亳州市碑刻砖铭全集》等书籍编辑工作并报送入选《中国少数民族文物图谱》的少数民族文物资料。</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3040" cy="4009390"/>
            <wp:effectExtent l="0" t="0" r="3810" b="10160"/>
            <wp:docPr id="11" name="图片 11" descr="亮眼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亮眼证书"/>
                    <pic:cNvPicPr>
                      <a:picLocks noChangeAspect="1"/>
                    </pic:cNvPicPr>
                  </pic:nvPicPr>
                  <pic:blipFill>
                    <a:blip r:embed="rId13"/>
                    <a:stretch>
                      <a:fillRect/>
                    </a:stretch>
                  </pic:blipFill>
                  <pic:spPr>
                    <a:xfrm>
                      <a:off x="0" y="0"/>
                      <a:ext cx="5273040" cy="4009390"/>
                    </a:xfrm>
                    <a:prstGeom prst="rect">
                      <a:avLst/>
                    </a:prstGeom>
                  </pic:spPr>
                </pic:pic>
              </a:graphicData>
            </a:graphic>
          </wp:inline>
        </w:drawing>
      </w:r>
    </w:p>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社会科学奖三等奖证书</w:t>
      </w:r>
      <w:bookmarkStart w:id="0" w:name="_GoBack"/>
      <w:bookmarkEnd w:id="0"/>
    </w:p>
    <w:p>
      <w:pPr>
        <w:widowControl w:val="0"/>
        <w:spacing w:line="570" w:lineRule="exact"/>
        <w:ind w:firstLine="643" w:firstLineChars="200"/>
        <w:jc w:val="left"/>
        <w:rPr>
          <w:rFonts w:ascii="仿宋" w:hAnsi="仿宋" w:eastAsia="仿宋" w:cs="仿宋"/>
          <w:kern w:val="2"/>
          <w:sz w:val="32"/>
          <w:szCs w:val="32"/>
          <w:lang w:val="en-US" w:eastAsia="zh-CN" w:bidi="ar-SA"/>
        </w:rPr>
      </w:pPr>
      <w:r>
        <w:rPr>
          <w:rFonts w:hint="eastAsia" w:ascii="楷体" w:hAnsi="楷体" w:eastAsia="楷体" w:cs="楷体"/>
          <w:b/>
          <w:bCs/>
          <w:kern w:val="2"/>
          <w:sz w:val="32"/>
          <w:szCs w:val="32"/>
          <w:lang w:val="en-US" w:eastAsia="zh-CN" w:bidi="ar-SA"/>
        </w:rPr>
        <w:t>（八）积极参与城市文明创建，丰富创建内涵。</w:t>
      </w:r>
      <w:r>
        <w:rPr>
          <w:rFonts w:hint="eastAsia" w:ascii="仿宋" w:hAnsi="仿宋" w:eastAsia="仿宋" w:cs="仿宋"/>
          <w:kern w:val="2"/>
          <w:sz w:val="32"/>
          <w:szCs w:val="32"/>
          <w:lang w:val="en-US" w:eastAsia="zh-CN" w:bidi="ar-SA"/>
        </w:rPr>
        <w:t>积极开展创建全国文明城市自查，围绕《亳州市创建全国文明城市实地考察指导手册》以及摸底排查记录中发现的问题，自查自纠、举一反三、逐项整改，不断强化目标管理责任制，取得了良好的成效。</w:t>
      </w:r>
    </w:p>
    <w:p>
      <w:pPr>
        <w:jc w:val="center"/>
        <w:rPr>
          <w:rFonts w:hint="eastAsia" w:ascii="方正小标宋简体" w:hAnsi="方正小标宋简体" w:eastAsia="方正小标宋简体" w:cs="方正小标宋简体"/>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hMWU5NzUyMTQ4OTA4YzJiOTU1ZDMyNjNlZjRjZTkifQ=="/>
  </w:docVars>
  <w:rsids>
    <w:rsidRoot w:val="00000000"/>
    <w:rsid w:val="51EB5254"/>
    <w:rsid w:val="5DF235BE"/>
    <w:rsid w:val="77AA7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2024-02-25T08:52:00Z</dcterms:created>
  <dc:creator>lenovo</dc:creator>
  <cp:lastModifiedBy>lenovo</cp:lastModifiedBy>
  <dcterms:modified xsi:type="dcterms:W3CDTF">2024-02-26T07:50:15Z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8BB2D9757B8B4C40BFEA72C0C689072E_12</vt:lpwstr>
  </property>
</Properties>
</file>